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54" w:rsidRPr="00427354" w:rsidRDefault="00427354" w:rsidP="00427354">
      <w:pPr>
        <w:spacing w:line="300" w:lineRule="auto"/>
        <w:rPr>
          <w:b/>
          <w:bCs/>
        </w:rPr>
      </w:pPr>
      <w:bookmarkStart w:id="0" w:name="_GoBack"/>
      <w:bookmarkEnd w:id="0"/>
      <w:r w:rsidRPr="00427354">
        <w:rPr>
          <w:rFonts w:hint="eastAsia"/>
          <w:b/>
          <w:bCs/>
        </w:rPr>
        <w:t>一、案例研究中心简介</w:t>
      </w:r>
    </w:p>
    <w:p w:rsidR="00427354" w:rsidRPr="00427354" w:rsidRDefault="00427354" w:rsidP="00427354">
      <w:pPr>
        <w:spacing w:line="300" w:lineRule="auto"/>
        <w:ind w:firstLineChars="200" w:firstLine="420"/>
        <w:rPr>
          <w:bCs/>
        </w:rPr>
      </w:pPr>
      <w:r w:rsidRPr="00427354">
        <w:rPr>
          <w:rFonts w:hint="eastAsia"/>
          <w:bCs/>
        </w:rPr>
        <w:t>中南</w:t>
      </w:r>
      <w:proofErr w:type="gramStart"/>
      <w:r w:rsidRPr="00427354">
        <w:rPr>
          <w:rFonts w:hint="eastAsia"/>
          <w:bCs/>
        </w:rPr>
        <w:t>财经政法</w:t>
      </w:r>
      <w:proofErr w:type="gramEnd"/>
      <w:r w:rsidRPr="00427354">
        <w:rPr>
          <w:rFonts w:hint="eastAsia"/>
          <w:bCs/>
        </w:rPr>
        <w:t>大学</w:t>
      </w:r>
      <w:r w:rsidRPr="00427354">
        <w:rPr>
          <w:rFonts w:hint="eastAsia"/>
          <w:bCs/>
        </w:rPr>
        <w:t>MBA</w:t>
      </w:r>
      <w:r w:rsidRPr="00427354">
        <w:rPr>
          <w:rFonts w:hint="eastAsia"/>
          <w:bCs/>
        </w:rPr>
        <w:t>学院管理案例研究中心（以下简称“案例中心”）重点关注管理案例教学研究与本土管理案例开发。中心根据需要，不定期的发布案例开发项目招标公告，以邀请相关专业人士从事中国本土管理案例的研究与开发。</w:t>
      </w:r>
    </w:p>
    <w:p w:rsidR="00427354" w:rsidRPr="00427354" w:rsidRDefault="00427354" w:rsidP="00427354">
      <w:pPr>
        <w:spacing w:line="300" w:lineRule="auto"/>
        <w:ind w:firstLineChars="200" w:firstLine="420"/>
        <w:rPr>
          <w:bCs/>
        </w:rPr>
      </w:pPr>
      <w:r w:rsidRPr="00427354">
        <w:rPr>
          <w:rFonts w:hint="eastAsia"/>
          <w:bCs/>
        </w:rPr>
        <w:t>案例中心旨在立足中国管理实践，通过推动实地调研，高质量地开发具有原创性的企业案例，为中国的企业和管理者提供有针对性的、原创的管理素材和研究报告；推动中国管理理论与实践发展，促进中国</w:t>
      </w:r>
      <w:r w:rsidRPr="00427354">
        <w:rPr>
          <w:rFonts w:hint="eastAsia"/>
          <w:bCs/>
        </w:rPr>
        <w:t>MBA</w:t>
      </w:r>
      <w:r w:rsidRPr="00427354">
        <w:rPr>
          <w:rFonts w:hint="eastAsia"/>
          <w:bCs/>
        </w:rPr>
        <w:t>教育与企业管理水平提升，提供原创性、前瞻性和应用性的管理思想。</w:t>
      </w:r>
    </w:p>
    <w:p w:rsidR="00427354" w:rsidRPr="009120FC" w:rsidRDefault="00427354" w:rsidP="009120FC">
      <w:pPr>
        <w:spacing w:line="300" w:lineRule="auto"/>
        <w:ind w:firstLineChars="200" w:firstLine="422"/>
        <w:rPr>
          <w:b/>
          <w:bCs/>
          <w:u w:val="single"/>
        </w:rPr>
      </w:pPr>
      <w:r w:rsidRPr="009120FC">
        <w:rPr>
          <w:rFonts w:hint="eastAsia"/>
          <w:b/>
          <w:bCs/>
          <w:u w:val="single"/>
        </w:rPr>
        <w:t>本次案例开发招标与案例征集项目重点关注领域是我院</w:t>
      </w:r>
      <w:r w:rsidRPr="009120FC">
        <w:rPr>
          <w:rFonts w:hint="eastAsia"/>
          <w:b/>
          <w:bCs/>
          <w:u w:val="single"/>
        </w:rPr>
        <w:t>MBA</w:t>
      </w:r>
      <w:r w:rsidRPr="009120FC">
        <w:rPr>
          <w:rFonts w:hint="eastAsia"/>
          <w:b/>
          <w:bCs/>
          <w:u w:val="single"/>
        </w:rPr>
        <w:t>主干课程的教学案例，全校的教师均可申请。</w:t>
      </w:r>
      <w:r w:rsidR="00350E2A">
        <w:rPr>
          <w:rFonts w:hint="eastAsia"/>
          <w:b/>
          <w:bCs/>
          <w:u w:val="single"/>
        </w:rPr>
        <w:t>以</w:t>
      </w:r>
      <w:r w:rsidR="00350E2A">
        <w:rPr>
          <w:rFonts w:hint="eastAsia"/>
          <w:b/>
          <w:bCs/>
          <w:u w:val="single"/>
        </w:rPr>
        <w:t>2014</w:t>
      </w:r>
      <w:r w:rsidR="00350E2A">
        <w:rPr>
          <w:rFonts w:hint="eastAsia"/>
          <w:b/>
          <w:bCs/>
          <w:u w:val="single"/>
        </w:rPr>
        <w:t>年以来的案例为主。</w:t>
      </w:r>
    </w:p>
    <w:p w:rsidR="00427354" w:rsidRPr="00427354" w:rsidRDefault="00427354" w:rsidP="00427354">
      <w:pPr>
        <w:spacing w:line="300" w:lineRule="auto"/>
        <w:rPr>
          <w:b/>
          <w:bCs/>
        </w:rPr>
      </w:pPr>
      <w:r w:rsidRPr="00427354">
        <w:rPr>
          <w:rFonts w:hint="eastAsia"/>
          <w:b/>
          <w:bCs/>
        </w:rPr>
        <w:t>二、案例开发招标项目</w:t>
      </w:r>
    </w:p>
    <w:p w:rsidR="00427354" w:rsidRPr="00427354" w:rsidRDefault="00427354" w:rsidP="00427354">
      <w:pPr>
        <w:spacing w:line="300" w:lineRule="auto"/>
        <w:rPr>
          <w:b/>
          <w:bCs/>
        </w:rPr>
      </w:pPr>
      <w:r w:rsidRPr="00427354">
        <w:rPr>
          <w:rFonts w:hint="eastAsia"/>
          <w:b/>
          <w:bCs/>
        </w:rPr>
        <w:t>（一）案例开发招标项目简介</w:t>
      </w:r>
    </w:p>
    <w:p w:rsidR="00427354" w:rsidRPr="00427354" w:rsidRDefault="00427354" w:rsidP="00427354">
      <w:pPr>
        <w:spacing w:line="300" w:lineRule="auto"/>
        <w:ind w:firstLineChars="200" w:firstLine="420"/>
        <w:rPr>
          <w:bCs/>
        </w:rPr>
      </w:pPr>
      <w:r w:rsidRPr="00427354">
        <w:rPr>
          <w:rFonts w:hint="eastAsia"/>
          <w:bCs/>
        </w:rPr>
        <w:t>案例开发招标项目需填写案例开发项目申请书，并自行选择案例原型。案例开发分为教学案例和研究型案例。</w:t>
      </w:r>
      <w:r w:rsidRPr="009120FC">
        <w:rPr>
          <w:rFonts w:hint="eastAsia"/>
          <w:b/>
          <w:u w:val="single"/>
        </w:rPr>
        <w:t>案例中心鼓励原创型教学案例开发</w:t>
      </w:r>
      <w:r w:rsidRPr="00427354">
        <w:rPr>
          <w:rFonts w:hint="eastAsia"/>
          <w:bCs/>
        </w:rPr>
        <w:t>，即申请人以真实企业为样本，深入实地调研访谈，掌握一手资料，动态追踪企业发展。项目主申请人需具有副教授以上职称，或具有博士学位。项目申请人主持完成过案例中心开发项目，或参加过案例教学与编写培训的优先考虑资助。</w:t>
      </w:r>
    </w:p>
    <w:p w:rsidR="00427354" w:rsidRPr="008C1130" w:rsidRDefault="00427354" w:rsidP="008C1130">
      <w:pPr>
        <w:spacing w:line="300" w:lineRule="auto"/>
        <w:ind w:firstLineChars="200" w:firstLine="422"/>
        <w:rPr>
          <w:b/>
          <w:bCs/>
        </w:rPr>
      </w:pPr>
      <w:r w:rsidRPr="008C1130">
        <w:rPr>
          <w:rFonts w:hint="eastAsia"/>
          <w:b/>
          <w:u w:val="single"/>
        </w:rPr>
        <w:t>每个案例开发项目研究经费资助额度不超过</w:t>
      </w:r>
      <w:r w:rsidR="009120FC" w:rsidRPr="008C1130">
        <w:rPr>
          <w:rFonts w:hint="eastAsia"/>
          <w:b/>
          <w:u w:val="single"/>
        </w:rPr>
        <w:t>1.5</w:t>
      </w:r>
      <w:r w:rsidR="009120FC" w:rsidRPr="008C1130">
        <w:rPr>
          <w:rFonts w:hint="eastAsia"/>
          <w:b/>
          <w:u w:val="single"/>
        </w:rPr>
        <w:t>万</w:t>
      </w:r>
      <w:r w:rsidRPr="008C1130">
        <w:rPr>
          <w:rFonts w:hint="eastAsia"/>
          <w:b/>
          <w:u w:val="single"/>
        </w:rPr>
        <w:t>元，项目研究周期不超过</w:t>
      </w:r>
      <w:r w:rsidRPr="008C1130">
        <w:rPr>
          <w:rFonts w:hint="eastAsia"/>
          <w:b/>
          <w:u w:val="single"/>
        </w:rPr>
        <w:t>6</w:t>
      </w:r>
      <w:r w:rsidRPr="008C1130">
        <w:rPr>
          <w:rFonts w:hint="eastAsia"/>
          <w:b/>
          <w:u w:val="single"/>
        </w:rPr>
        <w:t>个月。案例成果公开发表并标助“中南财经政法大学</w:t>
      </w:r>
      <w:r w:rsidRPr="008C1130">
        <w:rPr>
          <w:rFonts w:hint="eastAsia"/>
          <w:b/>
          <w:u w:val="single"/>
        </w:rPr>
        <w:t>MBA</w:t>
      </w:r>
      <w:r w:rsidRPr="008C1130">
        <w:rPr>
          <w:rFonts w:hint="eastAsia"/>
          <w:b/>
          <w:u w:val="single"/>
        </w:rPr>
        <w:t>学院管理案例研究中心资助”字样。</w:t>
      </w:r>
    </w:p>
    <w:p w:rsidR="00427354" w:rsidRPr="008C1130" w:rsidRDefault="00427354" w:rsidP="00427354">
      <w:pPr>
        <w:spacing w:line="300" w:lineRule="auto"/>
        <w:rPr>
          <w:b/>
          <w:bCs/>
        </w:rPr>
      </w:pPr>
      <w:r w:rsidRPr="008C1130">
        <w:rPr>
          <w:rFonts w:hint="eastAsia"/>
          <w:b/>
          <w:u w:val="single"/>
        </w:rPr>
        <w:t>满足以下条件的，予以额外</w:t>
      </w:r>
      <w:r w:rsidR="00085C4D" w:rsidRPr="008C1130">
        <w:rPr>
          <w:rFonts w:hint="eastAsia"/>
          <w:b/>
          <w:u w:val="single"/>
        </w:rPr>
        <w:t>3</w:t>
      </w:r>
      <w:r w:rsidRPr="008C1130">
        <w:rPr>
          <w:rFonts w:hint="eastAsia"/>
          <w:b/>
          <w:u w:val="single"/>
        </w:rPr>
        <w:t>000-</w:t>
      </w:r>
      <w:r w:rsidR="009120FC" w:rsidRPr="008C1130">
        <w:rPr>
          <w:rFonts w:hint="eastAsia"/>
          <w:b/>
          <w:u w:val="single"/>
        </w:rPr>
        <w:t>10000</w:t>
      </w:r>
      <w:r w:rsidRPr="008C1130">
        <w:rPr>
          <w:rFonts w:hint="eastAsia"/>
          <w:b/>
          <w:u w:val="single"/>
        </w:rPr>
        <w:t>元奖励</w:t>
      </w:r>
      <w:r w:rsidRPr="008C1130">
        <w:rPr>
          <w:rFonts w:hint="eastAsia"/>
          <w:b/>
          <w:bCs/>
        </w:rPr>
        <w:t>：</w:t>
      </w:r>
    </w:p>
    <w:p w:rsidR="00427354" w:rsidRPr="00427354" w:rsidRDefault="00427354" w:rsidP="00427354">
      <w:pPr>
        <w:spacing w:line="300" w:lineRule="auto"/>
        <w:ind w:firstLineChars="200" w:firstLine="420"/>
        <w:rPr>
          <w:bCs/>
        </w:rPr>
      </w:pPr>
      <w:r w:rsidRPr="00427354">
        <w:rPr>
          <w:rFonts w:hint="eastAsia"/>
          <w:bCs/>
        </w:rPr>
        <w:t>1.</w:t>
      </w:r>
      <w:r w:rsidRPr="00427354">
        <w:rPr>
          <w:bCs/>
        </w:rPr>
        <w:t xml:space="preserve">  </w:t>
      </w:r>
      <w:r w:rsidRPr="00427354">
        <w:rPr>
          <w:rFonts w:hint="eastAsia"/>
          <w:bCs/>
        </w:rPr>
        <w:t>入选</w:t>
      </w:r>
      <w:r w:rsidRPr="00427354">
        <w:rPr>
          <w:rFonts w:hint="eastAsia"/>
          <w:bCs/>
        </w:rPr>
        <w:t>MBA</w:t>
      </w:r>
      <w:proofErr w:type="gramStart"/>
      <w:r w:rsidRPr="00427354">
        <w:rPr>
          <w:rFonts w:hint="eastAsia"/>
          <w:bCs/>
        </w:rPr>
        <w:t>教指委</w:t>
      </w:r>
      <w:proofErr w:type="gramEnd"/>
      <w:r w:rsidRPr="00427354">
        <w:rPr>
          <w:rFonts w:hint="eastAsia"/>
          <w:bCs/>
        </w:rPr>
        <w:t>全国“百篇优秀管理案例”的，予以</w:t>
      </w:r>
      <w:r w:rsidR="009120FC">
        <w:rPr>
          <w:rFonts w:hint="eastAsia"/>
          <w:bCs/>
        </w:rPr>
        <w:t>10</w:t>
      </w:r>
      <w:r w:rsidRPr="00427354">
        <w:rPr>
          <w:rFonts w:hint="eastAsia"/>
          <w:bCs/>
        </w:rPr>
        <w:t>000</w:t>
      </w:r>
      <w:r w:rsidRPr="00427354">
        <w:rPr>
          <w:rFonts w:hint="eastAsia"/>
          <w:bCs/>
        </w:rPr>
        <w:t>元奖励</w:t>
      </w:r>
    </w:p>
    <w:p w:rsidR="009120FC" w:rsidRDefault="00427354" w:rsidP="00427354">
      <w:pPr>
        <w:spacing w:line="300" w:lineRule="auto"/>
        <w:ind w:firstLineChars="200" w:firstLine="420"/>
        <w:rPr>
          <w:bCs/>
        </w:rPr>
      </w:pPr>
      <w:r w:rsidRPr="00427354">
        <w:rPr>
          <w:rFonts w:hint="eastAsia"/>
          <w:bCs/>
        </w:rPr>
        <w:t>2.</w:t>
      </w:r>
      <w:r w:rsidRPr="00427354">
        <w:rPr>
          <w:bCs/>
        </w:rPr>
        <w:t xml:space="preserve">  </w:t>
      </w:r>
      <w:r w:rsidRPr="00427354">
        <w:rPr>
          <w:rFonts w:hint="eastAsia"/>
          <w:bCs/>
        </w:rPr>
        <w:t>入选</w:t>
      </w:r>
      <w:r w:rsidR="009120FC">
        <w:rPr>
          <w:rFonts w:hint="eastAsia"/>
          <w:bCs/>
        </w:rPr>
        <w:t>清华经管中国工商管理案例中心的，</w:t>
      </w:r>
      <w:r w:rsidR="009120FC" w:rsidRPr="009120FC">
        <w:rPr>
          <w:rFonts w:hint="eastAsia"/>
          <w:bCs/>
        </w:rPr>
        <w:t>予以</w:t>
      </w:r>
      <w:r w:rsidR="00085C4D">
        <w:rPr>
          <w:rFonts w:hint="eastAsia"/>
          <w:bCs/>
        </w:rPr>
        <w:t>3</w:t>
      </w:r>
      <w:r w:rsidR="009120FC" w:rsidRPr="009120FC">
        <w:rPr>
          <w:rFonts w:hint="eastAsia"/>
          <w:bCs/>
        </w:rPr>
        <w:t>000</w:t>
      </w:r>
      <w:r w:rsidR="009120FC" w:rsidRPr="009120FC">
        <w:rPr>
          <w:rFonts w:hint="eastAsia"/>
          <w:bCs/>
        </w:rPr>
        <w:t>元奖励</w:t>
      </w:r>
    </w:p>
    <w:p w:rsidR="00427354" w:rsidRPr="00427354" w:rsidRDefault="009120FC" w:rsidP="00427354">
      <w:pPr>
        <w:spacing w:line="300" w:lineRule="auto"/>
        <w:ind w:firstLineChars="200" w:firstLine="420"/>
        <w:rPr>
          <w:bCs/>
        </w:rPr>
      </w:pPr>
      <w:r>
        <w:rPr>
          <w:rFonts w:hint="eastAsia"/>
          <w:bCs/>
        </w:rPr>
        <w:t xml:space="preserve">3.  </w:t>
      </w:r>
      <w:r>
        <w:rPr>
          <w:rFonts w:hint="eastAsia"/>
          <w:bCs/>
        </w:rPr>
        <w:t>入选</w:t>
      </w:r>
      <w:r w:rsidR="00427354" w:rsidRPr="00427354">
        <w:rPr>
          <w:rFonts w:hint="eastAsia"/>
          <w:bCs/>
        </w:rPr>
        <w:t>毅伟商学院案例库的，予以</w:t>
      </w:r>
      <w:r>
        <w:rPr>
          <w:rFonts w:hint="eastAsia"/>
          <w:bCs/>
        </w:rPr>
        <w:t>10</w:t>
      </w:r>
      <w:r w:rsidR="00427354" w:rsidRPr="00427354">
        <w:rPr>
          <w:rFonts w:hint="eastAsia"/>
          <w:bCs/>
        </w:rPr>
        <w:t>000</w:t>
      </w:r>
      <w:r w:rsidR="00427354" w:rsidRPr="00427354">
        <w:rPr>
          <w:rFonts w:hint="eastAsia"/>
          <w:bCs/>
        </w:rPr>
        <w:t>元奖励</w:t>
      </w:r>
    </w:p>
    <w:p w:rsidR="00427354" w:rsidRDefault="00085C4D" w:rsidP="00427354">
      <w:pPr>
        <w:spacing w:line="300" w:lineRule="auto"/>
        <w:ind w:firstLineChars="200" w:firstLine="420"/>
        <w:rPr>
          <w:bCs/>
        </w:rPr>
      </w:pPr>
      <w:r>
        <w:rPr>
          <w:rFonts w:hint="eastAsia"/>
          <w:bCs/>
        </w:rPr>
        <w:t>4</w:t>
      </w:r>
      <w:r w:rsidR="00427354" w:rsidRPr="00427354">
        <w:rPr>
          <w:rFonts w:hint="eastAsia"/>
          <w:bCs/>
        </w:rPr>
        <w:t>.</w:t>
      </w:r>
      <w:r w:rsidR="00427354" w:rsidRPr="00427354">
        <w:rPr>
          <w:bCs/>
        </w:rPr>
        <w:t xml:space="preserve">  </w:t>
      </w:r>
      <w:r w:rsidR="00427354" w:rsidRPr="00427354">
        <w:rPr>
          <w:rFonts w:hint="eastAsia"/>
          <w:bCs/>
        </w:rPr>
        <w:t>在《管理案例研究与评论》期刊发表论文的，予以</w:t>
      </w:r>
      <w:r w:rsidR="00427354" w:rsidRPr="00427354">
        <w:rPr>
          <w:rFonts w:hint="eastAsia"/>
          <w:bCs/>
        </w:rPr>
        <w:t>5000</w:t>
      </w:r>
      <w:r w:rsidR="00427354" w:rsidRPr="00427354">
        <w:rPr>
          <w:rFonts w:hint="eastAsia"/>
          <w:bCs/>
        </w:rPr>
        <w:t>元奖励</w:t>
      </w:r>
    </w:p>
    <w:p w:rsidR="00085C4D" w:rsidRDefault="00085C4D" w:rsidP="00427354">
      <w:pPr>
        <w:spacing w:line="300" w:lineRule="auto"/>
        <w:ind w:firstLineChars="200" w:firstLine="420"/>
        <w:rPr>
          <w:bCs/>
        </w:rPr>
      </w:pPr>
      <w:r>
        <w:rPr>
          <w:rFonts w:hint="eastAsia"/>
          <w:bCs/>
        </w:rPr>
        <w:t xml:space="preserve">5.  </w:t>
      </w:r>
      <w:r>
        <w:rPr>
          <w:rFonts w:hint="eastAsia"/>
          <w:bCs/>
        </w:rPr>
        <w:t>在主流财经杂志，如《北大商业评论》、《商业评论》、《销售与市场》</w:t>
      </w:r>
      <w:r w:rsidR="008C1130">
        <w:rPr>
          <w:rFonts w:hint="eastAsia"/>
          <w:bCs/>
        </w:rPr>
        <w:t>等发表的</w:t>
      </w:r>
      <w:r w:rsidRPr="00085C4D">
        <w:rPr>
          <w:rFonts w:hint="eastAsia"/>
          <w:bCs/>
        </w:rPr>
        <w:t>，予以</w:t>
      </w:r>
      <w:r>
        <w:rPr>
          <w:rFonts w:hint="eastAsia"/>
          <w:bCs/>
        </w:rPr>
        <w:t>3</w:t>
      </w:r>
      <w:r w:rsidRPr="00085C4D">
        <w:rPr>
          <w:rFonts w:hint="eastAsia"/>
          <w:bCs/>
        </w:rPr>
        <w:t>000</w:t>
      </w:r>
      <w:r w:rsidRPr="00085C4D">
        <w:rPr>
          <w:rFonts w:hint="eastAsia"/>
          <w:bCs/>
        </w:rPr>
        <w:t>元奖励</w:t>
      </w:r>
    </w:p>
    <w:p w:rsidR="008C1130" w:rsidRPr="00085C4D" w:rsidRDefault="008C1130" w:rsidP="00427354">
      <w:pPr>
        <w:spacing w:line="300" w:lineRule="auto"/>
        <w:ind w:firstLineChars="200" w:firstLine="420"/>
        <w:rPr>
          <w:bCs/>
        </w:rPr>
      </w:pPr>
      <w:r>
        <w:rPr>
          <w:rFonts w:hint="eastAsia"/>
          <w:bCs/>
        </w:rPr>
        <w:t xml:space="preserve">6.  </w:t>
      </w:r>
      <w:r>
        <w:rPr>
          <w:rFonts w:hint="eastAsia"/>
          <w:bCs/>
        </w:rPr>
        <w:t>在其他</w:t>
      </w:r>
      <w:r>
        <w:rPr>
          <w:rFonts w:hint="eastAsia"/>
          <w:bCs/>
        </w:rPr>
        <w:t>CSSCI</w:t>
      </w:r>
      <w:r>
        <w:rPr>
          <w:rFonts w:hint="eastAsia"/>
          <w:bCs/>
        </w:rPr>
        <w:t>期刊发表的以案例为原型的研究型论文，</w:t>
      </w:r>
      <w:r w:rsidRPr="008C1130">
        <w:rPr>
          <w:rFonts w:hint="eastAsia"/>
          <w:bCs/>
        </w:rPr>
        <w:t>予以</w:t>
      </w:r>
      <w:r w:rsidRPr="008C1130">
        <w:rPr>
          <w:rFonts w:hint="eastAsia"/>
          <w:bCs/>
        </w:rPr>
        <w:t>5000</w:t>
      </w:r>
      <w:r w:rsidRPr="008C1130">
        <w:rPr>
          <w:rFonts w:hint="eastAsia"/>
          <w:bCs/>
        </w:rPr>
        <w:t>元奖励</w:t>
      </w:r>
    </w:p>
    <w:p w:rsidR="00427354" w:rsidRPr="00427354" w:rsidRDefault="00427354" w:rsidP="00427354">
      <w:pPr>
        <w:spacing w:line="300" w:lineRule="auto"/>
        <w:rPr>
          <w:b/>
          <w:bCs/>
        </w:rPr>
      </w:pPr>
      <w:r w:rsidRPr="00427354">
        <w:rPr>
          <w:rFonts w:hint="eastAsia"/>
          <w:b/>
          <w:bCs/>
        </w:rPr>
        <w:t>（二）招投标流程、评标标准</w:t>
      </w:r>
    </w:p>
    <w:p w:rsidR="00427354" w:rsidRPr="00427354" w:rsidRDefault="00427354" w:rsidP="00427354">
      <w:pPr>
        <w:spacing w:line="300" w:lineRule="auto"/>
        <w:ind w:firstLineChars="200" w:firstLine="420"/>
        <w:rPr>
          <w:bCs/>
        </w:rPr>
      </w:pPr>
      <w:r w:rsidRPr="00427354">
        <w:rPr>
          <w:rFonts w:hint="eastAsia"/>
          <w:bCs/>
        </w:rPr>
        <w:t>1.</w:t>
      </w:r>
      <w:r w:rsidRPr="00427354">
        <w:rPr>
          <w:rFonts w:hint="eastAsia"/>
          <w:bCs/>
        </w:rPr>
        <w:t>由中心发布案例开发招标与征集的参考选题范围，具体研究项目由参与投标的申请人结合自身的实际情况进行选择。</w:t>
      </w:r>
    </w:p>
    <w:p w:rsidR="00427354" w:rsidRPr="00427354" w:rsidRDefault="00427354" w:rsidP="00427354">
      <w:pPr>
        <w:spacing w:line="300" w:lineRule="auto"/>
        <w:ind w:firstLineChars="200" w:firstLine="420"/>
        <w:rPr>
          <w:bCs/>
        </w:rPr>
      </w:pPr>
      <w:r w:rsidRPr="00427354">
        <w:rPr>
          <w:rFonts w:hint="eastAsia"/>
          <w:bCs/>
        </w:rPr>
        <w:t>2.</w:t>
      </w:r>
      <w:r w:rsidR="00350E2A" w:rsidRPr="00350E2A">
        <w:rPr>
          <w:rFonts w:hint="eastAsia"/>
          <w:b/>
          <w:bCs/>
          <w:u w:val="single"/>
        </w:rPr>
        <w:t>申请者如有</w:t>
      </w:r>
      <w:r w:rsidR="00350E2A" w:rsidRPr="00350E2A">
        <w:rPr>
          <w:rFonts w:hint="eastAsia"/>
          <w:b/>
          <w:bCs/>
          <w:u w:val="single"/>
        </w:rPr>
        <w:t>2014</w:t>
      </w:r>
      <w:r w:rsidR="00350E2A" w:rsidRPr="00350E2A">
        <w:rPr>
          <w:rFonts w:hint="eastAsia"/>
          <w:b/>
          <w:bCs/>
          <w:u w:val="single"/>
        </w:rPr>
        <w:t>年以来新开发的成熟案例，可以直接提交，如果审核通过，予以立项资助；申请者也可以是</w:t>
      </w:r>
      <w:r w:rsidR="00350E2A" w:rsidRPr="00350E2A">
        <w:rPr>
          <w:rFonts w:hint="eastAsia"/>
          <w:b/>
          <w:bCs/>
          <w:u w:val="single"/>
        </w:rPr>
        <w:t>2014</w:t>
      </w:r>
      <w:r w:rsidR="00350E2A" w:rsidRPr="00350E2A">
        <w:rPr>
          <w:rFonts w:hint="eastAsia"/>
          <w:b/>
          <w:bCs/>
          <w:u w:val="single"/>
        </w:rPr>
        <w:t>年以来的一个计划或者准备接触的企业案例</w:t>
      </w:r>
      <w:r w:rsidR="00350E2A">
        <w:rPr>
          <w:rFonts w:hint="eastAsia"/>
          <w:bCs/>
        </w:rPr>
        <w:t>，</w:t>
      </w:r>
      <w:r w:rsidRPr="00427354">
        <w:rPr>
          <w:rFonts w:hint="eastAsia"/>
          <w:bCs/>
        </w:rPr>
        <w:t>参与投标的申请人需填写“案例开发项目申请书”（见附件</w:t>
      </w:r>
      <w:r w:rsidRPr="00427354">
        <w:rPr>
          <w:rFonts w:hint="eastAsia"/>
          <w:bCs/>
        </w:rPr>
        <w:t>1</w:t>
      </w:r>
      <w:r w:rsidRPr="00427354">
        <w:rPr>
          <w:rFonts w:hint="eastAsia"/>
          <w:bCs/>
        </w:rPr>
        <w:t>）。填写好的申请书请提交打印版</w:t>
      </w:r>
      <w:r w:rsidRPr="00427354">
        <w:rPr>
          <w:rFonts w:hint="eastAsia"/>
          <w:bCs/>
        </w:rPr>
        <w:t>2</w:t>
      </w:r>
      <w:r w:rsidRPr="00427354">
        <w:rPr>
          <w:rFonts w:hint="eastAsia"/>
          <w:bCs/>
        </w:rPr>
        <w:t>份，电子版</w:t>
      </w:r>
      <w:r w:rsidRPr="00427354">
        <w:rPr>
          <w:rFonts w:hint="eastAsia"/>
          <w:bCs/>
        </w:rPr>
        <w:t>1</w:t>
      </w:r>
      <w:r w:rsidRPr="00427354">
        <w:rPr>
          <w:rFonts w:hint="eastAsia"/>
          <w:bCs/>
        </w:rPr>
        <w:t>份。</w:t>
      </w:r>
      <w:r w:rsidRPr="008C1130">
        <w:rPr>
          <w:rFonts w:hint="eastAsia"/>
          <w:b/>
          <w:u w:val="single"/>
        </w:rPr>
        <w:t>本次招标项目提交申请书的截止日期为</w:t>
      </w:r>
      <w:r w:rsidRPr="008C1130">
        <w:rPr>
          <w:rFonts w:hint="eastAsia"/>
          <w:b/>
          <w:u w:val="single"/>
        </w:rPr>
        <w:t>201</w:t>
      </w:r>
      <w:r w:rsidR="00177841">
        <w:rPr>
          <w:rFonts w:hint="eastAsia"/>
          <w:b/>
          <w:u w:val="single"/>
        </w:rPr>
        <w:t>5</w:t>
      </w:r>
      <w:r w:rsidRPr="008C1130">
        <w:rPr>
          <w:rFonts w:hint="eastAsia"/>
          <w:b/>
          <w:u w:val="single"/>
        </w:rPr>
        <w:t>年</w:t>
      </w:r>
      <w:r w:rsidRPr="008C1130">
        <w:rPr>
          <w:rFonts w:hint="eastAsia"/>
          <w:b/>
          <w:u w:val="single"/>
        </w:rPr>
        <w:t>7</w:t>
      </w:r>
      <w:r w:rsidRPr="008C1130">
        <w:rPr>
          <w:rFonts w:hint="eastAsia"/>
          <w:b/>
          <w:u w:val="single"/>
        </w:rPr>
        <w:t>月</w:t>
      </w:r>
      <w:r w:rsidRPr="008C1130">
        <w:rPr>
          <w:rFonts w:hint="eastAsia"/>
          <w:b/>
          <w:u w:val="single"/>
        </w:rPr>
        <w:t>25</w:t>
      </w:r>
      <w:r w:rsidRPr="008C1130">
        <w:rPr>
          <w:rFonts w:hint="eastAsia"/>
          <w:b/>
          <w:u w:val="single"/>
        </w:rPr>
        <w:t>日。</w:t>
      </w:r>
    </w:p>
    <w:p w:rsidR="00427354" w:rsidRPr="00583C62" w:rsidRDefault="00427354" w:rsidP="00427354">
      <w:pPr>
        <w:spacing w:line="300" w:lineRule="auto"/>
        <w:ind w:firstLineChars="200" w:firstLine="420"/>
        <w:rPr>
          <w:b/>
          <w:bCs/>
        </w:rPr>
      </w:pPr>
      <w:r w:rsidRPr="00427354">
        <w:rPr>
          <w:rFonts w:hint="eastAsia"/>
          <w:bCs/>
        </w:rPr>
        <w:t>3</w:t>
      </w:r>
      <w:r w:rsidRPr="00427354">
        <w:rPr>
          <w:rFonts w:hint="eastAsia"/>
          <w:bCs/>
        </w:rPr>
        <w:t>．评标标准：申请书中主要研究人员及研究团队的研究能力和资源占评标依据的</w:t>
      </w:r>
      <w:r w:rsidRPr="00427354">
        <w:rPr>
          <w:rFonts w:hint="eastAsia"/>
          <w:bCs/>
        </w:rPr>
        <w:t>40%</w:t>
      </w:r>
      <w:r w:rsidRPr="00427354">
        <w:rPr>
          <w:rFonts w:hint="eastAsia"/>
          <w:bCs/>
        </w:rPr>
        <w:t>；</w:t>
      </w:r>
      <w:r w:rsidRPr="00427354">
        <w:rPr>
          <w:rFonts w:hint="eastAsia"/>
          <w:bCs/>
        </w:rPr>
        <w:lastRenderedPageBreak/>
        <w:t>所选项目及预期成果的研究意义占评标依据的</w:t>
      </w:r>
      <w:r w:rsidRPr="00427354">
        <w:rPr>
          <w:rFonts w:hint="eastAsia"/>
          <w:bCs/>
        </w:rPr>
        <w:t>40%</w:t>
      </w:r>
      <w:r w:rsidRPr="00427354">
        <w:rPr>
          <w:rFonts w:hint="eastAsia"/>
          <w:bCs/>
        </w:rPr>
        <w:t>；研究计划及最终预期成果占评标依据的</w:t>
      </w:r>
      <w:r w:rsidRPr="00427354">
        <w:rPr>
          <w:rFonts w:hint="eastAsia"/>
          <w:bCs/>
        </w:rPr>
        <w:t>20%</w:t>
      </w:r>
      <w:r w:rsidRPr="00427354">
        <w:rPr>
          <w:rFonts w:hint="eastAsia"/>
          <w:bCs/>
        </w:rPr>
        <w:t>。所有申请书由案例中心学术委员会组织审议后，于</w:t>
      </w:r>
      <w:r w:rsidRPr="00583C62">
        <w:rPr>
          <w:rFonts w:hint="eastAsia"/>
          <w:b/>
          <w:bCs/>
        </w:rPr>
        <w:t>201</w:t>
      </w:r>
      <w:r w:rsidR="00177841" w:rsidRPr="00583C62">
        <w:rPr>
          <w:rFonts w:hint="eastAsia"/>
          <w:b/>
          <w:bCs/>
        </w:rPr>
        <w:t>5</w:t>
      </w:r>
      <w:r w:rsidRPr="00583C62">
        <w:rPr>
          <w:rFonts w:hint="eastAsia"/>
          <w:b/>
          <w:bCs/>
        </w:rPr>
        <w:t>年</w:t>
      </w:r>
      <w:r w:rsidRPr="00583C62">
        <w:rPr>
          <w:rFonts w:hint="eastAsia"/>
          <w:b/>
          <w:bCs/>
        </w:rPr>
        <w:t>8</w:t>
      </w:r>
      <w:r w:rsidRPr="00583C62">
        <w:rPr>
          <w:rFonts w:hint="eastAsia"/>
          <w:b/>
          <w:bCs/>
        </w:rPr>
        <w:t>月</w:t>
      </w:r>
      <w:r w:rsidRPr="00583C62">
        <w:rPr>
          <w:rFonts w:hint="eastAsia"/>
          <w:b/>
          <w:bCs/>
        </w:rPr>
        <w:t>10</w:t>
      </w:r>
      <w:r w:rsidRPr="00583C62">
        <w:rPr>
          <w:rFonts w:hint="eastAsia"/>
          <w:b/>
          <w:bCs/>
        </w:rPr>
        <w:t>日前确定中标项目和人选。</w:t>
      </w:r>
    </w:p>
    <w:p w:rsidR="00427354" w:rsidRPr="00427354" w:rsidRDefault="00427354" w:rsidP="00427354">
      <w:pPr>
        <w:spacing w:line="300" w:lineRule="auto"/>
        <w:ind w:firstLineChars="200" w:firstLine="420"/>
        <w:rPr>
          <w:bCs/>
        </w:rPr>
      </w:pPr>
      <w:r w:rsidRPr="00427354">
        <w:rPr>
          <w:rFonts w:hint="eastAsia"/>
          <w:bCs/>
        </w:rPr>
        <w:t>4</w:t>
      </w:r>
      <w:r w:rsidRPr="00427354">
        <w:rPr>
          <w:rFonts w:hint="eastAsia"/>
          <w:bCs/>
        </w:rPr>
        <w:t>．中标项目申请人必须在发布中标公告的</w:t>
      </w:r>
      <w:r w:rsidRPr="00427354">
        <w:rPr>
          <w:rFonts w:hint="eastAsia"/>
          <w:bCs/>
        </w:rPr>
        <w:t>5</w:t>
      </w:r>
      <w:r w:rsidRPr="00427354">
        <w:rPr>
          <w:rFonts w:hint="eastAsia"/>
          <w:bCs/>
        </w:rPr>
        <w:t>个工作日内，与案例中心签订委托开发协议（见附件</w:t>
      </w:r>
      <w:r w:rsidRPr="00427354">
        <w:rPr>
          <w:rFonts w:hint="eastAsia"/>
          <w:bCs/>
        </w:rPr>
        <w:t>2</w:t>
      </w:r>
      <w:r w:rsidRPr="00427354">
        <w:rPr>
          <w:rFonts w:hint="eastAsia"/>
          <w:bCs/>
        </w:rPr>
        <w:t>）和案例开发知识产权声明书（见附件</w:t>
      </w:r>
      <w:r w:rsidRPr="00427354">
        <w:rPr>
          <w:rFonts w:hint="eastAsia"/>
          <w:bCs/>
        </w:rPr>
        <w:t>3</w:t>
      </w:r>
      <w:r w:rsidRPr="00427354">
        <w:rPr>
          <w:rFonts w:hint="eastAsia"/>
          <w:bCs/>
        </w:rPr>
        <w:t>），否则视为放弃。</w:t>
      </w:r>
    </w:p>
    <w:p w:rsidR="00427354" w:rsidRPr="00427354" w:rsidRDefault="00427354" w:rsidP="00427354">
      <w:pPr>
        <w:spacing w:line="300" w:lineRule="auto"/>
        <w:rPr>
          <w:b/>
          <w:bCs/>
        </w:rPr>
      </w:pPr>
      <w:r w:rsidRPr="00427354">
        <w:rPr>
          <w:rFonts w:hint="eastAsia"/>
          <w:b/>
          <w:bCs/>
        </w:rPr>
        <w:t>（三）成果要求</w:t>
      </w:r>
    </w:p>
    <w:p w:rsidR="00427354" w:rsidRPr="00427354" w:rsidRDefault="00427354" w:rsidP="00427354">
      <w:pPr>
        <w:spacing w:line="300" w:lineRule="auto"/>
        <w:ind w:firstLineChars="200" w:firstLine="420"/>
        <w:rPr>
          <w:bCs/>
        </w:rPr>
      </w:pPr>
      <w:r w:rsidRPr="00427354">
        <w:rPr>
          <w:rFonts w:hint="eastAsia"/>
          <w:bCs/>
        </w:rPr>
        <w:t>1.</w:t>
      </w:r>
      <w:r w:rsidRPr="00427354">
        <w:rPr>
          <w:bCs/>
        </w:rPr>
        <w:t xml:space="preserve"> </w:t>
      </w:r>
      <w:r w:rsidRPr="00427354">
        <w:rPr>
          <w:rFonts w:hint="eastAsia"/>
          <w:bCs/>
        </w:rPr>
        <w:t>在项目研究开始</w:t>
      </w:r>
      <w:r w:rsidRPr="00427354">
        <w:rPr>
          <w:rFonts w:hint="eastAsia"/>
          <w:bCs/>
        </w:rPr>
        <w:t>4</w:t>
      </w:r>
      <w:r w:rsidRPr="00427354">
        <w:rPr>
          <w:rFonts w:hint="eastAsia"/>
          <w:bCs/>
        </w:rPr>
        <w:t>个月内，必须向中心提供阶段性研究进展报告一份。</w:t>
      </w:r>
    </w:p>
    <w:p w:rsidR="00427354" w:rsidRPr="00427354" w:rsidRDefault="00427354" w:rsidP="00427354">
      <w:pPr>
        <w:spacing w:line="300" w:lineRule="auto"/>
        <w:ind w:firstLineChars="200" w:firstLine="420"/>
        <w:rPr>
          <w:bCs/>
        </w:rPr>
      </w:pPr>
      <w:r w:rsidRPr="00427354">
        <w:rPr>
          <w:rFonts w:hint="eastAsia"/>
          <w:bCs/>
        </w:rPr>
        <w:t xml:space="preserve">2. </w:t>
      </w:r>
      <w:r w:rsidRPr="00427354">
        <w:rPr>
          <w:rFonts w:hint="eastAsia"/>
          <w:u w:val="single"/>
        </w:rPr>
        <w:t>必须在规定时间内结项，</w:t>
      </w:r>
      <w:proofErr w:type="gramStart"/>
      <w:r w:rsidRPr="00427354">
        <w:rPr>
          <w:rFonts w:hint="eastAsia"/>
          <w:u w:val="single"/>
        </w:rPr>
        <w:t>项目结项时</w:t>
      </w:r>
      <w:proofErr w:type="gramEnd"/>
      <w:r w:rsidRPr="00427354">
        <w:rPr>
          <w:rFonts w:hint="eastAsia"/>
          <w:u w:val="single"/>
        </w:rPr>
        <w:t>，申请人须向案例中心提交</w:t>
      </w:r>
      <w:r w:rsidRPr="00427354">
        <w:rPr>
          <w:rFonts w:hint="eastAsia"/>
          <w:bCs/>
        </w:rPr>
        <w:t>：</w:t>
      </w:r>
    </w:p>
    <w:p w:rsidR="00427354" w:rsidRPr="00427354" w:rsidRDefault="00427354" w:rsidP="00427354">
      <w:pPr>
        <w:pStyle w:val="a5"/>
        <w:numPr>
          <w:ilvl w:val="0"/>
          <w:numId w:val="1"/>
        </w:numPr>
        <w:spacing w:line="300" w:lineRule="auto"/>
        <w:ind w:firstLineChars="0"/>
        <w:rPr>
          <w:bCs/>
        </w:rPr>
      </w:pPr>
      <w:proofErr w:type="gramStart"/>
      <w:r w:rsidRPr="00427354">
        <w:rPr>
          <w:rFonts w:hint="eastAsia"/>
          <w:bCs/>
        </w:rPr>
        <w:t>结项申请书</w:t>
      </w:r>
      <w:proofErr w:type="gramEnd"/>
      <w:r w:rsidRPr="00427354">
        <w:rPr>
          <w:rFonts w:hint="eastAsia"/>
          <w:bCs/>
        </w:rPr>
        <w:t>（见附件</w:t>
      </w:r>
      <w:r w:rsidRPr="00427354">
        <w:rPr>
          <w:rFonts w:hint="eastAsia"/>
          <w:bCs/>
        </w:rPr>
        <w:t>4</w:t>
      </w:r>
      <w:r w:rsidRPr="00427354">
        <w:rPr>
          <w:rFonts w:hint="eastAsia"/>
          <w:bCs/>
        </w:rPr>
        <w:t>）（打印版和电子版各</w:t>
      </w:r>
      <w:r w:rsidRPr="00427354">
        <w:rPr>
          <w:rFonts w:hint="eastAsia"/>
          <w:bCs/>
        </w:rPr>
        <w:t>1</w:t>
      </w:r>
      <w:r w:rsidRPr="00427354">
        <w:rPr>
          <w:rFonts w:hint="eastAsia"/>
          <w:bCs/>
        </w:rPr>
        <w:t>份）</w:t>
      </w:r>
    </w:p>
    <w:p w:rsidR="00427354" w:rsidRPr="00427354" w:rsidRDefault="00427354" w:rsidP="00427354">
      <w:pPr>
        <w:pStyle w:val="a5"/>
        <w:numPr>
          <w:ilvl w:val="0"/>
          <w:numId w:val="1"/>
        </w:numPr>
        <w:spacing w:line="300" w:lineRule="auto"/>
        <w:ind w:firstLineChars="0"/>
        <w:rPr>
          <w:bCs/>
        </w:rPr>
      </w:pPr>
      <w:r w:rsidRPr="00427354">
        <w:rPr>
          <w:rFonts w:hint="eastAsia"/>
          <w:bCs/>
        </w:rPr>
        <w:t>案例文档（打印版和电子版各</w:t>
      </w:r>
      <w:r w:rsidRPr="00427354">
        <w:rPr>
          <w:rFonts w:hint="eastAsia"/>
          <w:bCs/>
        </w:rPr>
        <w:t>1</w:t>
      </w:r>
      <w:r w:rsidRPr="00427354">
        <w:rPr>
          <w:rFonts w:hint="eastAsia"/>
          <w:bCs/>
        </w:rPr>
        <w:t>份），案例形式和格式符合《教学型案例格式规范》（见附件</w:t>
      </w:r>
      <w:r w:rsidRPr="00427354">
        <w:rPr>
          <w:rFonts w:hint="eastAsia"/>
          <w:bCs/>
        </w:rPr>
        <w:t>5</w:t>
      </w:r>
      <w:r w:rsidRPr="00427354">
        <w:rPr>
          <w:rFonts w:hint="eastAsia"/>
          <w:bCs/>
        </w:rPr>
        <w:t>、参考案例样本见附件</w:t>
      </w:r>
      <w:r w:rsidRPr="00427354">
        <w:rPr>
          <w:rFonts w:hint="eastAsia"/>
          <w:bCs/>
        </w:rPr>
        <w:t>8</w:t>
      </w:r>
      <w:r w:rsidRPr="00427354">
        <w:rPr>
          <w:rFonts w:hint="eastAsia"/>
          <w:bCs/>
        </w:rPr>
        <w:t>）</w:t>
      </w:r>
    </w:p>
    <w:p w:rsidR="00427354" w:rsidRPr="00427354" w:rsidRDefault="00427354" w:rsidP="00427354">
      <w:pPr>
        <w:pStyle w:val="a5"/>
        <w:numPr>
          <w:ilvl w:val="0"/>
          <w:numId w:val="1"/>
        </w:numPr>
        <w:spacing w:line="300" w:lineRule="auto"/>
        <w:ind w:firstLineChars="0"/>
        <w:rPr>
          <w:bCs/>
        </w:rPr>
      </w:pPr>
      <w:r w:rsidRPr="00427354">
        <w:rPr>
          <w:rFonts w:hint="eastAsia"/>
          <w:bCs/>
        </w:rPr>
        <w:t>开发的案例必须取得原型企业授权的使用准许书（见附件</w:t>
      </w:r>
      <w:r w:rsidRPr="00427354">
        <w:rPr>
          <w:rFonts w:hint="eastAsia"/>
          <w:bCs/>
        </w:rPr>
        <w:t>6</w:t>
      </w:r>
      <w:r w:rsidRPr="00427354">
        <w:rPr>
          <w:rFonts w:hint="eastAsia"/>
          <w:bCs/>
        </w:rPr>
        <w:t>）</w:t>
      </w:r>
    </w:p>
    <w:p w:rsidR="00427354" w:rsidRPr="00427354" w:rsidRDefault="00427354" w:rsidP="00427354">
      <w:pPr>
        <w:pStyle w:val="a5"/>
        <w:numPr>
          <w:ilvl w:val="0"/>
          <w:numId w:val="1"/>
        </w:numPr>
        <w:spacing w:line="300" w:lineRule="auto"/>
        <w:ind w:firstLineChars="0"/>
        <w:rPr>
          <w:bCs/>
        </w:rPr>
      </w:pPr>
      <w:r w:rsidRPr="00427354">
        <w:rPr>
          <w:rFonts w:hint="eastAsia"/>
          <w:bCs/>
        </w:rPr>
        <w:t>简要英文案例一份。每篇简要英文案例为独立的案例，其内容不必与中文案例完全一致，但需涵盖中文案例的核心内容，为中文案例的浓缩版。包括案例正文（</w:t>
      </w:r>
      <w:r w:rsidRPr="00427354">
        <w:rPr>
          <w:rFonts w:hint="eastAsia"/>
          <w:bCs/>
        </w:rPr>
        <w:t>3-4</w:t>
      </w:r>
      <w:r w:rsidRPr="00427354">
        <w:rPr>
          <w:rFonts w:hint="eastAsia"/>
          <w:bCs/>
        </w:rPr>
        <w:t>页）和案例使用说明（</w:t>
      </w:r>
      <w:r w:rsidRPr="00427354">
        <w:rPr>
          <w:rFonts w:hint="eastAsia"/>
          <w:bCs/>
        </w:rPr>
        <w:t>1-2</w:t>
      </w:r>
      <w:r w:rsidRPr="00427354">
        <w:rPr>
          <w:rFonts w:hint="eastAsia"/>
          <w:bCs/>
        </w:rPr>
        <w:t>页）。</w:t>
      </w:r>
    </w:p>
    <w:p w:rsidR="00427354" w:rsidRPr="00427354" w:rsidRDefault="00427354" w:rsidP="00427354">
      <w:pPr>
        <w:pStyle w:val="a5"/>
        <w:numPr>
          <w:ilvl w:val="0"/>
          <w:numId w:val="1"/>
        </w:numPr>
        <w:spacing w:line="300" w:lineRule="auto"/>
        <w:ind w:firstLineChars="0"/>
        <w:rPr>
          <w:bCs/>
        </w:rPr>
      </w:pPr>
      <w:r w:rsidRPr="00427354">
        <w:rPr>
          <w:rFonts w:hint="eastAsia"/>
          <w:bCs/>
        </w:rPr>
        <w:t>其他资料（如实地访谈记录、照片、媒体报道、企业相关资料等）</w:t>
      </w:r>
    </w:p>
    <w:p w:rsidR="00427354" w:rsidRPr="00427354" w:rsidRDefault="00427354" w:rsidP="00427354">
      <w:pPr>
        <w:spacing w:line="300" w:lineRule="auto"/>
        <w:ind w:firstLineChars="200" w:firstLine="420"/>
        <w:rPr>
          <w:bCs/>
        </w:rPr>
      </w:pPr>
      <w:r w:rsidRPr="00427354">
        <w:rPr>
          <w:rFonts w:hint="eastAsia"/>
          <w:bCs/>
        </w:rPr>
        <w:t xml:space="preserve">3. </w:t>
      </w:r>
      <w:r w:rsidRPr="00427354">
        <w:rPr>
          <w:rFonts w:hint="eastAsia"/>
          <w:bCs/>
        </w:rPr>
        <w:t>经</w:t>
      </w:r>
      <w:r w:rsidRPr="00427354">
        <w:rPr>
          <w:rFonts w:hint="eastAsia"/>
          <w:bCs/>
        </w:rPr>
        <w:t>MBA</w:t>
      </w:r>
      <w:r w:rsidRPr="00427354">
        <w:rPr>
          <w:rFonts w:hint="eastAsia"/>
          <w:bCs/>
        </w:rPr>
        <w:t>学院学术委员会评审通过后方可结项（评审标准见附件</w:t>
      </w:r>
      <w:r w:rsidRPr="00427354">
        <w:rPr>
          <w:rFonts w:hint="eastAsia"/>
          <w:bCs/>
        </w:rPr>
        <w:t>7</w:t>
      </w:r>
      <w:r w:rsidRPr="00427354">
        <w:rPr>
          <w:rFonts w:hint="eastAsia"/>
          <w:bCs/>
        </w:rPr>
        <w:t>）</w:t>
      </w:r>
    </w:p>
    <w:p w:rsidR="00427354" w:rsidRPr="00427354" w:rsidRDefault="00427354" w:rsidP="00427354">
      <w:pPr>
        <w:spacing w:line="300" w:lineRule="auto"/>
        <w:rPr>
          <w:b/>
          <w:bCs/>
        </w:rPr>
      </w:pPr>
      <w:r w:rsidRPr="00427354">
        <w:rPr>
          <w:rFonts w:hint="eastAsia"/>
          <w:b/>
          <w:bCs/>
        </w:rPr>
        <w:t>（四）中标者需注意的相关事项</w:t>
      </w:r>
    </w:p>
    <w:p w:rsidR="00427354" w:rsidRPr="00427354" w:rsidRDefault="00427354" w:rsidP="00427354">
      <w:pPr>
        <w:spacing w:line="300" w:lineRule="auto"/>
        <w:ind w:firstLineChars="200" w:firstLine="420"/>
        <w:rPr>
          <w:bCs/>
        </w:rPr>
      </w:pPr>
      <w:r w:rsidRPr="00427354">
        <w:rPr>
          <w:rFonts w:hint="eastAsia"/>
          <w:bCs/>
        </w:rPr>
        <w:t>1.</w:t>
      </w:r>
      <w:r w:rsidRPr="00427354">
        <w:rPr>
          <w:rFonts w:hint="eastAsia"/>
          <w:bCs/>
        </w:rPr>
        <w:t>凡承担项目的教师和研究人员要保质保量如期完成项目研究的预定任务。</w:t>
      </w:r>
    </w:p>
    <w:p w:rsidR="00427354" w:rsidRPr="00427354" w:rsidRDefault="00427354" w:rsidP="00427354">
      <w:pPr>
        <w:spacing w:line="300" w:lineRule="auto"/>
        <w:ind w:firstLineChars="200" w:firstLine="420"/>
        <w:rPr>
          <w:bCs/>
        </w:rPr>
      </w:pPr>
      <w:r w:rsidRPr="00427354">
        <w:rPr>
          <w:rFonts w:hint="eastAsia"/>
          <w:bCs/>
        </w:rPr>
        <w:t>2.</w:t>
      </w:r>
      <w:r w:rsidRPr="00427354">
        <w:rPr>
          <w:rFonts w:hint="eastAsia"/>
          <w:bCs/>
        </w:rPr>
        <w:t>凡承担项目的教师和研究人员要接受案例中心的检查和督导。</w:t>
      </w:r>
    </w:p>
    <w:p w:rsidR="00427354" w:rsidRPr="00427354" w:rsidRDefault="00427354" w:rsidP="00427354">
      <w:pPr>
        <w:spacing w:line="300" w:lineRule="auto"/>
        <w:ind w:firstLineChars="200" w:firstLine="420"/>
        <w:rPr>
          <w:bCs/>
        </w:rPr>
      </w:pPr>
      <w:r w:rsidRPr="00427354">
        <w:rPr>
          <w:rFonts w:hint="eastAsia"/>
          <w:bCs/>
        </w:rPr>
        <w:t>3.</w:t>
      </w:r>
      <w:r w:rsidRPr="00427354">
        <w:rPr>
          <w:rFonts w:hint="eastAsia"/>
          <w:bCs/>
        </w:rPr>
        <w:t>凡承担项目的教师和研究人员均有参与案例中心组织的相关活动的义务。</w:t>
      </w:r>
    </w:p>
    <w:p w:rsidR="00427354" w:rsidRPr="00427354" w:rsidRDefault="00427354" w:rsidP="00427354">
      <w:pPr>
        <w:spacing w:line="300" w:lineRule="auto"/>
        <w:ind w:firstLineChars="200" w:firstLine="420"/>
        <w:rPr>
          <w:bCs/>
        </w:rPr>
      </w:pPr>
      <w:r w:rsidRPr="00427354">
        <w:rPr>
          <w:rFonts w:hint="eastAsia"/>
          <w:bCs/>
        </w:rPr>
        <w:t>4.</w:t>
      </w:r>
      <w:r w:rsidRPr="00427354">
        <w:rPr>
          <w:rFonts w:hint="eastAsia"/>
          <w:bCs/>
        </w:rPr>
        <w:t>凡承担项目的教师和研究人员均有针对项目研究内容向案例中心提供意见和建议的义务。</w:t>
      </w:r>
    </w:p>
    <w:p w:rsidR="00427354" w:rsidRPr="00427354" w:rsidRDefault="00427354" w:rsidP="00427354">
      <w:pPr>
        <w:spacing w:line="300" w:lineRule="auto"/>
        <w:ind w:firstLineChars="200" w:firstLine="420"/>
        <w:rPr>
          <w:bCs/>
        </w:rPr>
      </w:pPr>
      <w:r w:rsidRPr="00427354">
        <w:rPr>
          <w:rFonts w:hint="eastAsia"/>
          <w:bCs/>
        </w:rPr>
        <w:t>5.</w:t>
      </w:r>
      <w:r w:rsidRPr="00427354">
        <w:rPr>
          <w:rFonts w:hint="eastAsia"/>
          <w:bCs/>
        </w:rPr>
        <w:t>凡承担项目的教师和研究人员在项目检查和评估过程中有向案例中心提供研究相关资料和数据的义务。</w:t>
      </w:r>
    </w:p>
    <w:p w:rsidR="00427354" w:rsidRPr="00427354" w:rsidRDefault="00427354" w:rsidP="00427354">
      <w:pPr>
        <w:spacing w:line="300" w:lineRule="auto"/>
        <w:ind w:firstLineChars="200" w:firstLine="420"/>
        <w:rPr>
          <w:bCs/>
        </w:rPr>
      </w:pPr>
      <w:r w:rsidRPr="00427354">
        <w:rPr>
          <w:rFonts w:hint="eastAsia"/>
          <w:bCs/>
        </w:rPr>
        <w:t>6.</w:t>
      </w:r>
      <w:r w:rsidRPr="00427354">
        <w:rPr>
          <w:rFonts w:hint="eastAsia"/>
          <w:bCs/>
        </w:rPr>
        <w:t>研究成果的著作权属于案例中心，作者享有署名权。</w:t>
      </w:r>
    </w:p>
    <w:p w:rsidR="00427354" w:rsidRPr="00427354" w:rsidRDefault="00427354" w:rsidP="00427354">
      <w:pPr>
        <w:spacing w:line="300" w:lineRule="auto"/>
        <w:rPr>
          <w:b/>
          <w:bCs/>
        </w:rPr>
      </w:pPr>
      <w:r w:rsidRPr="00427354">
        <w:rPr>
          <w:rFonts w:hint="eastAsia"/>
          <w:b/>
          <w:bCs/>
        </w:rPr>
        <w:t>三、案例开发与征集的参考选题</w:t>
      </w:r>
    </w:p>
    <w:p w:rsidR="00427354" w:rsidRPr="00427354" w:rsidRDefault="00427354" w:rsidP="00427354">
      <w:pPr>
        <w:spacing w:line="300" w:lineRule="auto"/>
        <w:ind w:firstLineChars="200" w:firstLine="420"/>
        <w:rPr>
          <w:bCs/>
        </w:rPr>
      </w:pPr>
      <w:r w:rsidRPr="00427354">
        <w:rPr>
          <w:rFonts w:hint="eastAsia"/>
          <w:bCs/>
        </w:rPr>
        <w:t>本次公开招标和征集案例</w:t>
      </w:r>
      <w:r w:rsidR="00350E2A">
        <w:rPr>
          <w:rFonts w:hint="eastAsia"/>
          <w:bCs/>
        </w:rPr>
        <w:t>7</w:t>
      </w:r>
      <w:r w:rsidRPr="00427354">
        <w:rPr>
          <w:rFonts w:hint="eastAsia"/>
          <w:bCs/>
        </w:rPr>
        <w:t>项，参考选题范围见下表，在选题时请注意选取具有代表性的管理实践问题和典型性的企业为对象进行案例开发。</w:t>
      </w:r>
    </w:p>
    <w:tbl>
      <w:tblPr>
        <w:tblW w:w="0" w:type="auto"/>
        <w:jc w:val="center"/>
        <w:tblCellMar>
          <w:left w:w="0" w:type="dxa"/>
          <w:right w:w="0" w:type="dxa"/>
        </w:tblCellMar>
        <w:tblLook w:val="04A0" w:firstRow="1" w:lastRow="0" w:firstColumn="1" w:lastColumn="0" w:noHBand="0" w:noVBand="1"/>
      </w:tblPr>
      <w:tblGrid>
        <w:gridCol w:w="1789"/>
        <w:gridCol w:w="6239"/>
      </w:tblGrid>
      <w:tr w:rsidR="00427354" w:rsidRPr="00427354" w:rsidTr="00427354">
        <w:trPr>
          <w:jc w:val="center"/>
        </w:trPr>
        <w:tc>
          <w:tcPr>
            <w:tcW w:w="17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b/>
                <w:bCs/>
              </w:rPr>
              <w:t>序号</w:t>
            </w:r>
          </w:p>
        </w:tc>
        <w:tc>
          <w:tcPr>
            <w:tcW w:w="6239" w:type="dxa"/>
            <w:tcBorders>
              <w:top w:val="single" w:sz="8" w:space="0" w:color="auto"/>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b/>
                <w:bCs/>
              </w:rPr>
              <w:t>参考方向</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27354" w:rsidRPr="00427354" w:rsidRDefault="00427354" w:rsidP="00427354">
            <w:pPr>
              <w:spacing w:line="300" w:lineRule="auto"/>
            </w:pPr>
            <w:r w:rsidRPr="00427354">
              <w:rPr>
                <w:rFonts w:hint="eastAsia"/>
              </w:rPr>
              <w:t>1</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MBA</w:t>
            </w:r>
            <w:r w:rsidRPr="00427354">
              <w:rPr>
                <w:rFonts w:hint="eastAsia"/>
              </w:rPr>
              <w:t>综合管理案例，涉及战略、营销、财务、人力资源等生产运作等方面的综合运用</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2</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战略管理课程案例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3</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组织行为与人力资源管理课程案例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4</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金融、会计、财务、价值评估</w:t>
            </w:r>
            <w:r w:rsidR="00177841">
              <w:rPr>
                <w:rFonts w:hint="eastAsia"/>
              </w:rPr>
              <w:t>、互联网金融</w:t>
            </w:r>
            <w:r w:rsidRPr="00427354">
              <w:rPr>
                <w:rFonts w:hint="eastAsia"/>
              </w:rPr>
              <w:t>课程案例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lastRenderedPageBreak/>
              <w:t>5</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生产运作、物流管理课程案例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6</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市场营销、电子商务</w:t>
            </w:r>
            <w:r w:rsidR="00177841">
              <w:rPr>
                <w:rFonts w:hint="eastAsia"/>
              </w:rPr>
              <w:t>、互联网</w:t>
            </w:r>
            <w:r w:rsidRPr="00427354">
              <w:rPr>
                <w:rFonts w:hint="eastAsia"/>
              </w:rPr>
              <w:t>课程案例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7</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管理经济学、商业模式等方向案例</w:t>
            </w:r>
          </w:p>
        </w:tc>
      </w:tr>
      <w:tr w:rsidR="00427354" w:rsidRPr="00427354" w:rsidTr="00427354">
        <w:trPr>
          <w:jc w:val="center"/>
        </w:trPr>
        <w:tc>
          <w:tcPr>
            <w:tcW w:w="1789" w:type="dxa"/>
            <w:tcBorders>
              <w:top w:val="outset" w:sz="6" w:space="0" w:color="ECE9D8"/>
              <w:left w:val="single" w:sz="8" w:space="0" w:color="auto"/>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8</w:t>
            </w:r>
          </w:p>
        </w:tc>
        <w:tc>
          <w:tcPr>
            <w:tcW w:w="6239" w:type="dxa"/>
            <w:tcBorders>
              <w:top w:val="outset" w:sz="6" w:space="0" w:color="ECE9D8"/>
              <w:left w:val="outset" w:sz="6" w:space="0" w:color="ECE9D8"/>
              <w:bottom w:val="single" w:sz="8" w:space="0" w:color="auto"/>
              <w:right w:val="single" w:sz="8" w:space="0" w:color="auto"/>
            </w:tcBorders>
            <w:tcMar>
              <w:top w:w="0" w:type="dxa"/>
              <w:left w:w="108" w:type="dxa"/>
              <w:bottom w:w="0" w:type="dxa"/>
              <w:right w:w="108" w:type="dxa"/>
            </w:tcMar>
            <w:hideMark/>
          </w:tcPr>
          <w:p w:rsidR="00427354" w:rsidRPr="00427354" w:rsidRDefault="00427354" w:rsidP="00427354">
            <w:pPr>
              <w:spacing w:line="300" w:lineRule="auto"/>
            </w:pPr>
            <w:r w:rsidRPr="00427354">
              <w:rPr>
                <w:rFonts w:hint="eastAsia"/>
              </w:rPr>
              <w:t>创业与创新管理领域案例</w:t>
            </w:r>
          </w:p>
        </w:tc>
      </w:tr>
    </w:tbl>
    <w:p w:rsidR="00427354" w:rsidRPr="00427354" w:rsidRDefault="00427354" w:rsidP="00427354">
      <w:pPr>
        <w:spacing w:line="300" w:lineRule="auto"/>
        <w:rPr>
          <w:b/>
          <w:bCs/>
        </w:rPr>
      </w:pPr>
      <w:r w:rsidRPr="00427354">
        <w:rPr>
          <w:rFonts w:hint="eastAsia"/>
          <w:b/>
          <w:bCs/>
        </w:rPr>
        <w:t>四、提交投标文件和应征案例的方式</w:t>
      </w:r>
    </w:p>
    <w:p w:rsidR="00427354" w:rsidRPr="00427354" w:rsidRDefault="00427354" w:rsidP="00427354">
      <w:pPr>
        <w:spacing w:line="300" w:lineRule="auto"/>
        <w:ind w:firstLineChars="200" w:firstLine="420"/>
        <w:rPr>
          <w:bCs/>
        </w:rPr>
      </w:pPr>
      <w:r w:rsidRPr="00427354">
        <w:rPr>
          <w:rFonts w:hint="eastAsia"/>
          <w:bCs/>
        </w:rPr>
        <w:t>投标文件和应征案例可以邮寄或送至：</w:t>
      </w:r>
    </w:p>
    <w:p w:rsidR="00427354" w:rsidRPr="00427354" w:rsidRDefault="00427354" w:rsidP="00427354">
      <w:pPr>
        <w:spacing w:line="300" w:lineRule="auto"/>
        <w:ind w:firstLineChars="200" w:firstLine="420"/>
        <w:rPr>
          <w:bCs/>
        </w:rPr>
      </w:pPr>
      <w:r w:rsidRPr="00427354">
        <w:rPr>
          <w:rFonts w:hint="eastAsia"/>
          <w:bCs/>
        </w:rPr>
        <w:t>电子邮件：</w:t>
      </w:r>
      <w:r w:rsidRPr="00427354">
        <w:rPr>
          <w:bCs/>
        </w:rPr>
        <w:t>znmbacase@163.com</w:t>
      </w:r>
    </w:p>
    <w:p w:rsidR="00427354" w:rsidRPr="00427354" w:rsidRDefault="00427354" w:rsidP="00427354">
      <w:pPr>
        <w:spacing w:line="300" w:lineRule="auto"/>
        <w:ind w:firstLineChars="200" w:firstLine="420"/>
        <w:rPr>
          <w:bCs/>
        </w:rPr>
      </w:pPr>
      <w:r w:rsidRPr="00427354">
        <w:rPr>
          <w:rFonts w:hint="eastAsia"/>
          <w:bCs/>
        </w:rPr>
        <w:t>武汉市武珞路</w:t>
      </w:r>
      <w:r w:rsidRPr="00427354">
        <w:rPr>
          <w:rFonts w:hint="eastAsia"/>
          <w:bCs/>
        </w:rPr>
        <w:t>114</w:t>
      </w:r>
      <w:r w:rsidRPr="00427354">
        <w:rPr>
          <w:rFonts w:hint="eastAsia"/>
          <w:bCs/>
        </w:rPr>
        <w:t>号中南</w:t>
      </w:r>
      <w:proofErr w:type="gramStart"/>
      <w:r w:rsidRPr="00427354">
        <w:rPr>
          <w:rFonts w:hint="eastAsia"/>
          <w:bCs/>
        </w:rPr>
        <w:t>财经政法</w:t>
      </w:r>
      <w:proofErr w:type="gramEnd"/>
      <w:r w:rsidRPr="00427354">
        <w:rPr>
          <w:rFonts w:hint="eastAsia"/>
          <w:bCs/>
        </w:rPr>
        <w:t>大学（首义校区）</w:t>
      </w:r>
    </w:p>
    <w:p w:rsidR="00427354" w:rsidRPr="00427354" w:rsidRDefault="00427354" w:rsidP="00427354">
      <w:pPr>
        <w:spacing w:line="300" w:lineRule="auto"/>
        <w:ind w:firstLineChars="200" w:firstLine="420"/>
        <w:rPr>
          <w:bCs/>
        </w:rPr>
      </w:pPr>
      <w:r w:rsidRPr="00427354">
        <w:rPr>
          <w:rFonts w:hint="eastAsia"/>
          <w:bCs/>
        </w:rPr>
        <w:t>MBA</w:t>
      </w:r>
      <w:r w:rsidRPr="00427354">
        <w:rPr>
          <w:rFonts w:hint="eastAsia"/>
          <w:bCs/>
        </w:rPr>
        <w:t>学院管理案例研究中心（</w:t>
      </w:r>
      <w:r w:rsidRPr="00427354">
        <w:rPr>
          <w:rFonts w:hint="eastAsia"/>
          <w:bCs/>
        </w:rPr>
        <w:t>206</w:t>
      </w:r>
      <w:r w:rsidRPr="00427354">
        <w:rPr>
          <w:rFonts w:hint="eastAsia"/>
          <w:bCs/>
        </w:rPr>
        <w:t>办公室）</w:t>
      </w:r>
    </w:p>
    <w:p w:rsidR="00427354" w:rsidRPr="00427354" w:rsidRDefault="00427354" w:rsidP="00427354">
      <w:pPr>
        <w:spacing w:line="300" w:lineRule="auto"/>
        <w:ind w:firstLineChars="200" w:firstLine="420"/>
        <w:rPr>
          <w:bCs/>
        </w:rPr>
      </w:pPr>
      <w:r w:rsidRPr="00427354">
        <w:rPr>
          <w:rFonts w:hint="eastAsia"/>
          <w:bCs/>
        </w:rPr>
        <w:t>邮编：</w:t>
      </w:r>
      <w:r w:rsidRPr="00427354">
        <w:rPr>
          <w:rFonts w:hint="eastAsia"/>
          <w:bCs/>
        </w:rPr>
        <w:t>430060</w:t>
      </w:r>
    </w:p>
    <w:p w:rsidR="00427354" w:rsidRPr="00427354" w:rsidRDefault="00427354" w:rsidP="00427354">
      <w:pPr>
        <w:spacing w:line="300" w:lineRule="auto"/>
        <w:rPr>
          <w:b/>
          <w:bCs/>
        </w:rPr>
      </w:pPr>
      <w:r w:rsidRPr="00427354">
        <w:rPr>
          <w:rFonts w:hint="eastAsia"/>
          <w:b/>
          <w:bCs/>
        </w:rPr>
        <w:t>五、咨询方式</w:t>
      </w:r>
    </w:p>
    <w:p w:rsidR="00427354" w:rsidRPr="00427354" w:rsidRDefault="00427354" w:rsidP="00427354">
      <w:pPr>
        <w:spacing w:line="300" w:lineRule="auto"/>
        <w:ind w:firstLineChars="200" w:firstLine="420"/>
        <w:rPr>
          <w:bCs/>
        </w:rPr>
      </w:pPr>
      <w:r w:rsidRPr="00427354">
        <w:rPr>
          <w:rFonts w:hint="eastAsia"/>
          <w:bCs/>
        </w:rPr>
        <w:t>联系人：杜老师</w:t>
      </w:r>
    </w:p>
    <w:p w:rsidR="00427354" w:rsidRPr="00427354" w:rsidRDefault="00427354" w:rsidP="00427354">
      <w:pPr>
        <w:spacing w:line="300" w:lineRule="auto"/>
        <w:ind w:firstLineChars="200" w:firstLine="420"/>
        <w:rPr>
          <w:bCs/>
        </w:rPr>
      </w:pPr>
      <w:r w:rsidRPr="00427354">
        <w:rPr>
          <w:rFonts w:hint="eastAsia"/>
          <w:bCs/>
        </w:rPr>
        <w:t>电话：</w:t>
      </w:r>
      <w:r w:rsidRPr="00427354">
        <w:rPr>
          <w:rFonts w:hint="eastAsia"/>
          <w:bCs/>
        </w:rPr>
        <w:t>027-</w:t>
      </w:r>
      <w:proofErr w:type="gramStart"/>
      <w:r w:rsidRPr="00427354">
        <w:rPr>
          <w:rFonts w:hint="eastAsia"/>
          <w:bCs/>
        </w:rPr>
        <w:t>88382772  18627717866</w:t>
      </w:r>
      <w:proofErr w:type="gramEnd"/>
    </w:p>
    <w:p w:rsidR="0009192E" w:rsidRDefault="0009192E" w:rsidP="00427354">
      <w:pPr>
        <w:spacing w:line="300" w:lineRule="auto"/>
      </w:pPr>
    </w:p>
    <w:sectPr w:rsidR="000919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8B" w:rsidRDefault="0030348B" w:rsidP="00427354">
      <w:r>
        <w:separator/>
      </w:r>
    </w:p>
  </w:endnote>
  <w:endnote w:type="continuationSeparator" w:id="0">
    <w:p w:rsidR="0030348B" w:rsidRDefault="0030348B" w:rsidP="0042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8B" w:rsidRDefault="0030348B" w:rsidP="00427354">
      <w:r>
        <w:separator/>
      </w:r>
    </w:p>
  </w:footnote>
  <w:footnote w:type="continuationSeparator" w:id="0">
    <w:p w:rsidR="0030348B" w:rsidRDefault="0030348B" w:rsidP="004273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664D4"/>
    <w:multiLevelType w:val="hybridMultilevel"/>
    <w:tmpl w:val="E634DEEC"/>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D0"/>
    <w:rsid w:val="000853CC"/>
    <w:rsid w:val="00085C4D"/>
    <w:rsid w:val="0009192E"/>
    <w:rsid w:val="00177841"/>
    <w:rsid w:val="0030348B"/>
    <w:rsid w:val="00350E2A"/>
    <w:rsid w:val="00427354"/>
    <w:rsid w:val="00432CD0"/>
    <w:rsid w:val="00445F0E"/>
    <w:rsid w:val="00583C62"/>
    <w:rsid w:val="008C1130"/>
    <w:rsid w:val="009120FC"/>
    <w:rsid w:val="00C10680"/>
    <w:rsid w:val="00D70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73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7354"/>
    <w:rPr>
      <w:sz w:val="18"/>
      <w:szCs w:val="18"/>
    </w:rPr>
  </w:style>
  <w:style w:type="paragraph" w:styleId="a4">
    <w:name w:val="footer"/>
    <w:basedOn w:val="a"/>
    <w:link w:val="Char0"/>
    <w:uiPriority w:val="99"/>
    <w:unhideWhenUsed/>
    <w:rsid w:val="00427354"/>
    <w:pPr>
      <w:tabs>
        <w:tab w:val="center" w:pos="4153"/>
        <w:tab w:val="right" w:pos="8306"/>
      </w:tabs>
      <w:snapToGrid w:val="0"/>
      <w:jc w:val="left"/>
    </w:pPr>
    <w:rPr>
      <w:sz w:val="18"/>
      <w:szCs w:val="18"/>
    </w:rPr>
  </w:style>
  <w:style w:type="character" w:customStyle="1" w:styleId="Char0">
    <w:name w:val="页脚 Char"/>
    <w:basedOn w:val="a0"/>
    <w:link w:val="a4"/>
    <w:uiPriority w:val="99"/>
    <w:rsid w:val="00427354"/>
    <w:rPr>
      <w:sz w:val="18"/>
      <w:szCs w:val="18"/>
    </w:rPr>
  </w:style>
  <w:style w:type="paragraph" w:styleId="a5">
    <w:name w:val="List Paragraph"/>
    <w:basedOn w:val="a"/>
    <w:uiPriority w:val="34"/>
    <w:qFormat/>
    <w:rsid w:val="0042735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73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7354"/>
    <w:rPr>
      <w:sz w:val="18"/>
      <w:szCs w:val="18"/>
    </w:rPr>
  </w:style>
  <w:style w:type="paragraph" w:styleId="a4">
    <w:name w:val="footer"/>
    <w:basedOn w:val="a"/>
    <w:link w:val="Char0"/>
    <w:uiPriority w:val="99"/>
    <w:unhideWhenUsed/>
    <w:rsid w:val="00427354"/>
    <w:pPr>
      <w:tabs>
        <w:tab w:val="center" w:pos="4153"/>
        <w:tab w:val="right" w:pos="8306"/>
      </w:tabs>
      <w:snapToGrid w:val="0"/>
      <w:jc w:val="left"/>
    </w:pPr>
    <w:rPr>
      <w:sz w:val="18"/>
      <w:szCs w:val="18"/>
    </w:rPr>
  </w:style>
  <w:style w:type="character" w:customStyle="1" w:styleId="Char0">
    <w:name w:val="页脚 Char"/>
    <w:basedOn w:val="a0"/>
    <w:link w:val="a4"/>
    <w:uiPriority w:val="99"/>
    <w:rsid w:val="00427354"/>
    <w:rPr>
      <w:sz w:val="18"/>
      <w:szCs w:val="18"/>
    </w:rPr>
  </w:style>
  <w:style w:type="paragraph" w:styleId="a5">
    <w:name w:val="List Paragraph"/>
    <w:basedOn w:val="a"/>
    <w:uiPriority w:val="34"/>
    <w:qFormat/>
    <w:rsid w:val="0042735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819726">
      <w:bodyDiv w:val="1"/>
      <w:marLeft w:val="0"/>
      <w:marRight w:val="0"/>
      <w:marTop w:val="0"/>
      <w:marBottom w:val="0"/>
      <w:divBdr>
        <w:top w:val="none" w:sz="0" w:space="0" w:color="auto"/>
        <w:left w:val="none" w:sz="0" w:space="0" w:color="auto"/>
        <w:bottom w:val="none" w:sz="0" w:space="0" w:color="auto"/>
        <w:right w:val="none" w:sz="0" w:space="0" w:color="auto"/>
      </w:divBdr>
      <w:divsChild>
        <w:div w:id="2044286836">
          <w:marLeft w:val="0"/>
          <w:marRight w:val="0"/>
          <w:marTop w:val="0"/>
          <w:marBottom w:val="0"/>
          <w:divBdr>
            <w:top w:val="none" w:sz="0" w:space="0" w:color="auto"/>
            <w:left w:val="none" w:sz="0" w:space="0" w:color="auto"/>
            <w:bottom w:val="none" w:sz="0" w:space="0" w:color="auto"/>
            <w:right w:val="none" w:sz="0" w:space="0" w:color="auto"/>
          </w:divBdr>
          <w:divsChild>
            <w:div w:id="258758061">
              <w:marLeft w:val="0"/>
              <w:marRight w:val="0"/>
              <w:marTop w:val="0"/>
              <w:marBottom w:val="0"/>
              <w:divBdr>
                <w:top w:val="none" w:sz="0" w:space="0" w:color="auto"/>
                <w:left w:val="none" w:sz="0" w:space="0" w:color="auto"/>
                <w:bottom w:val="none" w:sz="0" w:space="0" w:color="auto"/>
                <w:right w:val="none" w:sz="0" w:space="0" w:color="auto"/>
              </w:divBdr>
              <w:divsChild>
                <w:div w:id="1324121614">
                  <w:marLeft w:val="0"/>
                  <w:marRight w:val="0"/>
                  <w:marTop w:val="0"/>
                  <w:marBottom w:val="0"/>
                  <w:divBdr>
                    <w:top w:val="none" w:sz="0" w:space="0" w:color="auto"/>
                    <w:left w:val="none" w:sz="0" w:space="0" w:color="auto"/>
                    <w:bottom w:val="none" w:sz="0" w:space="0" w:color="auto"/>
                    <w:right w:val="none" w:sz="0" w:space="0" w:color="auto"/>
                  </w:divBdr>
                  <w:divsChild>
                    <w:div w:id="1120763805">
                      <w:marLeft w:val="0"/>
                      <w:marRight w:val="0"/>
                      <w:marTop w:val="0"/>
                      <w:marBottom w:val="0"/>
                      <w:divBdr>
                        <w:top w:val="none" w:sz="0" w:space="0" w:color="auto"/>
                        <w:left w:val="none" w:sz="0" w:space="0" w:color="auto"/>
                        <w:bottom w:val="none" w:sz="0" w:space="0" w:color="auto"/>
                        <w:right w:val="none" w:sz="0" w:space="0" w:color="auto"/>
                      </w:divBdr>
                      <w:divsChild>
                        <w:div w:id="613095888">
                          <w:marLeft w:val="0"/>
                          <w:marRight w:val="0"/>
                          <w:marTop w:val="0"/>
                          <w:marBottom w:val="0"/>
                          <w:divBdr>
                            <w:top w:val="none" w:sz="0" w:space="0" w:color="auto"/>
                            <w:left w:val="none" w:sz="0" w:space="0" w:color="auto"/>
                            <w:bottom w:val="none" w:sz="0" w:space="0" w:color="auto"/>
                            <w:right w:val="none" w:sz="0" w:space="0" w:color="auto"/>
                          </w:divBdr>
                          <w:divsChild>
                            <w:div w:id="2174781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c:creator>
  <cp:keywords/>
  <dc:description/>
  <cp:lastModifiedBy>jackmeng</cp:lastModifiedBy>
  <cp:revision>14</cp:revision>
  <dcterms:created xsi:type="dcterms:W3CDTF">2015-04-08T01:09:00Z</dcterms:created>
  <dcterms:modified xsi:type="dcterms:W3CDTF">2015-04-08T03:45:00Z</dcterms:modified>
</cp:coreProperties>
</file>